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109" w:rsidRPr="00010590" w:rsidRDefault="00AD3109" w:rsidP="00AD3109">
      <w:pPr>
        <w:spacing w:after="0" w:line="240" w:lineRule="auto"/>
        <w:ind w:firstLine="709"/>
        <w:jc w:val="both"/>
        <w:rPr>
          <w:rStyle w:val="a3"/>
          <w:rFonts w:ascii="Times New Roman" w:hAnsi="Times New Roman" w:cs="Times New Roman"/>
          <w:sz w:val="28"/>
          <w:szCs w:val="28"/>
          <w:lang w:val="kk-KZ"/>
        </w:rPr>
      </w:pPr>
      <w:r w:rsidRPr="00010590">
        <w:rPr>
          <w:rStyle w:val="a3"/>
          <w:rFonts w:ascii="Times New Roman" w:hAnsi="Times New Roman" w:cs="Times New Roman"/>
          <w:sz w:val="28"/>
          <w:szCs w:val="28"/>
          <w:lang w:val="kk-KZ"/>
        </w:rPr>
        <w:t>Тақырып:       Телеқатысымның теориялық тұжырымы</w:t>
      </w:r>
    </w:p>
    <w:p w:rsidR="00AD3109" w:rsidRPr="00010590" w:rsidRDefault="00AD3109" w:rsidP="00AD3109">
      <w:pPr>
        <w:spacing w:after="0" w:line="240" w:lineRule="auto"/>
        <w:ind w:firstLine="709"/>
        <w:jc w:val="both"/>
        <w:rPr>
          <w:rStyle w:val="a3"/>
          <w:rFonts w:ascii="Times New Roman" w:hAnsi="Times New Roman" w:cs="Times New Roman"/>
          <w:sz w:val="28"/>
          <w:szCs w:val="28"/>
          <w:lang w:val="kk-KZ"/>
        </w:rPr>
      </w:pP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010590">
        <w:rPr>
          <w:rStyle w:val="a3"/>
          <w:rFonts w:ascii="Times New Roman" w:hAnsi="Times New Roman" w:cs="Times New Roman"/>
          <w:sz w:val="28"/>
          <w:szCs w:val="28"/>
          <w:lang w:val="kk-KZ"/>
        </w:rPr>
        <w:t xml:space="preserve"> </w:t>
      </w:r>
      <w:r w:rsidRPr="00B40822">
        <w:rPr>
          <w:rStyle w:val="a3"/>
          <w:rFonts w:ascii="Times New Roman" w:hAnsi="Times New Roman" w:cs="Times New Roman"/>
          <w:sz w:val="28"/>
          <w:szCs w:val="28"/>
          <w:lang w:val="kk-KZ"/>
        </w:rPr>
        <w:t>Телеқатысымдық теориясының негізгі тұжырымдары төмендегідей:</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1. Көрермендер жеке тұлға деп қаралмайды, олар әлеуметтік топ мүшелері, бір-бірімен араласып тұрады.</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2. БАҚ ақпаратына тікелей және сол сәтте жауап қатпайды, әлеуметтік ықпалдастық ықпалымен ғана шешімге келеді.</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3. Жауап қатуға екі үрдіс қатысады: хабарды ұғыну/назар аударып, қабылдау/не келіспей, қарсылық білдіру.</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4. Жеке адамдар қатысым үрдісінде әр түрлі рөлді атқарады, оның бір бөлігі белсенді топ (БАҚ идеяларын түсініп, оны ары қарай жеткізуші), ал екіншісі көбіне әлеуметтік қарым-қатынаста айтылған ақпаратқа көбірек сүйенеді.</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5. Үрдіске белсенді қатысушылар (көшбасшылар) ерекше қабілетті: олар БАҚ-ты ақпарат көзі ретінде жиі қарайды, тілдесімге бейім, шешен келеді, өз бойындағы басқаларға ықпал ететін күшті сезеді және сол абыройын нығайтуды ойлайды.</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Осы модельге Робинсон да пікір білдіріп, БАҚ ықпалының көп сатылы екендігін дәлелдеуге тырысты. Осындай ықпалды сынаушылар да көп, дегенмен тұжырымның көкейге қонымдылығын уақыт дәлелдеп берді. Теледидар тікелей де, жанама да, әлеуметтік топтар арқылы да, көшбасшы тұлғалар арқылы да өз көрерменіне ықпал етеді. Оның өктем, агрессивті сипатын тележарнамадан байқаймыз.</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1973 жылы Э.Ноэлл-Нойманның (Noelle-Neumann, 1973) «үндемеу спиралі» теориясы жарық көрді. Ол бойынша медиаәсерлердің ықпалы күшті, көпшілік пікіріне қарама-қайшы келетін болса, адамдар өздерінің көзқарастары мен нанымдарын жасырады. Осы зерттеуде БАҚ-тың қоғамдық пікірді қалыптастырудағы жетекші тетік екендігі баса көрсетіледі.</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 xml:space="preserve">1983 жылы АҚШ-тағы Ұлттық психикалық денсаулық институтының телевизияның іс-дағдыға ықпал ететіндігі туралы баяндамасы жарияланды. Онда экрандағы қантөгіс, зорлық көріністерінің балалар мен жасөспірімдерге күшті әсер ететіндігі көрсетілді. </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 xml:space="preserve">Келесі теория «жаңашылдықтың диффузиясы» деп аталады, авторы Роджерс (Rogers, 1983). Оның басты қағидасы жаңа идеялар мен өнімдер әлеуметтік жүйе мүшелері көмегімен бірден емес, уақыт өте келе тарайтындығын көрсетеді. Оны төрт сатылы күрделі жүйе ретінде көрсетеді және үш негізгі блоктан тұрады: алғашқы жағдай, үрдіс және себеп-салдар. </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Біріншісіне қабылдаушы ғана қатысады.</w:t>
      </w:r>
    </w:p>
    <w:p w:rsidR="00AD3109" w:rsidRPr="00B40822" w:rsidRDefault="00AD3109" w:rsidP="00AD3109">
      <w:pPr>
        <w:spacing w:after="0" w:line="240" w:lineRule="auto"/>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 xml:space="preserve">          Екінші блок – тану, қатысын өзгерту және шешім қабылдау. Мұнда жаңалықтың ерекшеліктерімен танысқан тұтынушы өзін қоршаған топтың нормалары және құндылықтарына сай шешім қабылдайды. </w:t>
      </w:r>
    </w:p>
    <w:p w:rsidR="00AD3109" w:rsidRPr="00B40822" w:rsidRDefault="00AD3109" w:rsidP="00AD3109">
      <w:pPr>
        <w:spacing w:after="0" w:line="240" w:lineRule="auto"/>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lastRenderedPageBreak/>
        <w:t xml:space="preserve">          Үшінші блок, жаңалықты қолдану немесе пайдаланбау.</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Кейіннен бұл теория да резонанс алып кетті, бірнеше ғалым өз үлестерін қосты, тіпті математикалық өлшемдер енгізілді.</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Тағы бір назар аударарлық теория Фискенің дискурстық моделі (Fiske, 1987) болып табылады. Ол бойынша БАҚ мәтіндері кодталған мағына ғана емес, ол аудиторияға қатысты өнім, телебағдарламадағы мәтінді көрермен оқып, қанағат сезімін алғанда ғана мақсатына жетеді, қатысым орнайды. Дискурстан («язык или система репрезентации, которая развилась в ходе социальных процессов и которая создает и поддерживает когерентный набор смыслов относительно какого-то важного предмета») «оқырманның» тәжірибесі мен ұстанымдарына байланысты мағына туындайды. Дискурс ұғымы «мағыналық құрылым» деген түсінікті береді.</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1989 жылы «Қатысымтанудың халықаралық энциклопедиясы»</w:t>
      </w:r>
      <w:r w:rsidRPr="00B40822">
        <w:rPr>
          <w:rFonts w:ascii="Times New Roman" w:hAnsi="Times New Roman" w:cs="Times New Roman"/>
          <w:b/>
          <w:sz w:val="28"/>
          <w:szCs w:val="28"/>
          <w:lang w:val="kk-KZ"/>
        </w:rPr>
        <w:t>[61]</w:t>
      </w:r>
      <w:r w:rsidRPr="00B40822">
        <w:rPr>
          <w:rStyle w:val="a3"/>
          <w:rFonts w:ascii="Times New Roman" w:hAnsi="Times New Roman" w:cs="Times New Roman"/>
          <w:sz w:val="28"/>
          <w:szCs w:val="28"/>
          <w:lang w:val="kk-KZ"/>
        </w:rPr>
        <w:t xml:space="preserve"> жарық көрді. Онда 200-ге тарта автордың философия, тіл білімі, психология, мәдени әлеуметтану, саясат, оқу технологиясы, эстетика, этнография және басқа да салаларды қамтыған іргелі зерттеулері топтастырылды. Сөйтіп, қатысым үрдістерін зерттеушілерді жақындастыру, міндеттерін нақтылауға қатысты маңызды қадам жасалды.</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Бұқаралық қатысым теориясының негізгі идеялары арнайы кестеде тізімделіп, қосымша ретінде берілді.</w:t>
      </w:r>
    </w:p>
    <w:p w:rsidR="00AD3109" w:rsidRPr="00010590" w:rsidRDefault="00AD3109" w:rsidP="00AD3109">
      <w:pPr>
        <w:spacing w:after="0" w:line="240" w:lineRule="auto"/>
        <w:ind w:firstLine="709"/>
        <w:jc w:val="both"/>
        <w:rPr>
          <w:rStyle w:val="2"/>
          <w:rFonts w:eastAsia="Calibri"/>
          <w:sz w:val="28"/>
          <w:szCs w:val="28"/>
          <w:lang w:val="kk-KZ"/>
        </w:rPr>
      </w:pPr>
      <w:r w:rsidRPr="00010590">
        <w:rPr>
          <w:rFonts w:ascii="Times New Roman" w:hAnsi="Times New Roman" w:cs="Times New Roman"/>
          <w:sz w:val="28"/>
          <w:szCs w:val="28"/>
          <w:lang w:val="kk-KZ"/>
        </w:rPr>
        <w:t xml:space="preserve">Телешығармашылық туралы сөз болғанда орыс философы М.М.Бахтиннің мәдениет пен қосүн (диалог) туралы айтқандарынан айналып кете алмаймыз. Өйткені, осыған қатысты тұжырымдарының бәрі дерлік «идея» деген ұғымға тіреледі, мәдениеттің өзі - идея, қосүн де идея, сөйлеудің де түп қазығы – идея, ал, бүгінгі идеялардың қозғаушысы БАҚ. Адам танымының негіздеріне тоқтала келе ойшыл қосүннің әмбебап сипаттарын атап көрсетеді: </w:t>
      </w:r>
      <w:r w:rsidRPr="00010590">
        <w:rPr>
          <w:rFonts w:ascii="Times New Roman" w:hAnsi="Times New Roman" w:cs="Times New Roman"/>
          <w:sz w:val="28"/>
          <w:szCs w:val="28"/>
        </w:rPr>
        <w:t xml:space="preserve">«Диалогические отношения... это — почти универсальное явление, пронизывающее всю человеческую речь и </w:t>
      </w:r>
      <w:proofErr w:type="gramStart"/>
      <w:r w:rsidRPr="00010590">
        <w:rPr>
          <w:rFonts w:ascii="Times New Roman" w:hAnsi="Times New Roman" w:cs="Times New Roman"/>
          <w:sz w:val="28"/>
          <w:szCs w:val="28"/>
        </w:rPr>
        <w:t>все отношения</w:t>
      </w:r>
      <w:proofErr w:type="gramEnd"/>
      <w:r w:rsidRPr="00010590">
        <w:rPr>
          <w:rFonts w:ascii="Times New Roman" w:hAnsi="Times New Roman" w:cs="Times New Roman"/>
          <w:sz w:val="28"/>
          <w:szCs w:val="28"/>
        </w:rPr>
        <w:t xml:space="preserve"> и проявления человеческой жизни, вообще все, что имеет смысл и значение... Где начинается сознание, там... начинается и диалог.</w:t>
      </w:r>
      <w:r w:rsidRPr="00010590">
        <w:rPr>
          <w:rFonts w:ascii="Times New Roman" w:hAnsi="Times New Roman" w:cs="Times New Roman"/>
          <w:sz w:val="28"/>
          <w:szCs w:val="28"/>
          <w:lang w:val="kk-KZ"/>
        </w:rPr>
        <w:t>..</w:t>
      </w:r>
      <w:r w:rsidRPr="00010590">
        <w:rPr>
          <w:rFonts w:ascii="Times New Roman" w:hAnsi="Times New Roman" w:cs="Times New Roman"/>
          <w:sz w:val="28"/>
          <w:szCs w:val="28"/>
        </w:rPr>
        <w:t xml:space="preserve"> Все в жизни диалог, то есть диалогическая </w:t>
      </w:r>
      <w:proofErr w:type="gramStart"/>
      <w:r w:rsidRPr="00010590">
        <w:rPr>
          <w:rFonts w:ascii="Times New Roman" w:hAnsi="Times New Roman" w:cs="Times New Roman"/>
          <w:sz w:val="28"/>
          <w:szCs w:val="28"/>
        </w:rPr>
        <w:t>противоположность»</w:t>
      </w:r>
      <w:r w:rsidRPr="00010590">
        <w:rPr>
          <w:rFonts w:ascii="Times New Roman" w:hAnsi="Times New Roman" w:cs="Times New Roman"/>
          <w:sz w:val="28"/>
          <w:szCs w:val="28"/>
          <w:lang w:val="kk-KZ"/>
        </w:rPr>
        <w:t>[</w:t>
      </w:r>
      <w:proofErr w:type="gramEnd"/>
      <w:r w:rsidRPr="00010590">
        <w:rPr>
          <w:rFonts w:ascii="Times New Roman" w:hAnsi="Times New Roman" w:cs="Times New Roman"/>
          <w:sz w:val="28"/>
          <w:szCs w:val="28"/>
          <w:lang w:val="kk-KZ"/>
        </w:rPr>
        <w:t>62]</w:t>
      </w:r>
      <w:r w:rsidRPr="00010590">
        <w:rPr>
          <w:rFonts w:ascii="Times New Roman" w:hAnsi="Times New Roman" w:cs="Times New Roman"/>
          <w:sz w:val="28"/>
          <w:szCs w:val="28"/>
        </w:rPr>
        <w:t>.</w:t>
      </w:r>
      <w:r w:rsidRPr="00010590">
        <w:rPr>
          <w:rFonts w:ascii="Times New Roman" w:hAnsi="Times New Roman" w:cs="Times New Roman"/>
          <w:sz w:val="28"/>
          <w:szCs w:val="28"/>
          <w:lang w:val="kk-KZ"/>
        </w:rPr>
        <w:t xml:space="preserve"> Осы ойды дамыта келе, қазақ ф</w:t>
      </w:r>
      <w:r w:rsidRPr="00010590">
        <w:rPr>
          <w:rStyle w:val="2"/>
          <w:rFonts w:eastAsia="Calibri"/>
          <w:sz w:val="28"/>
          <w:szCs w:val="28"/>
          <w:lang w:val="kk-KZ"/>
        </w:rPr>
        <w:t>илософы Амангелді Айталы: «культура» латын тілінен аударғанда «жақсарту», «ізгілендіру», «сүйкімдендіру» деген мағынаны білдіреді. Ол – ізгілік беруші, асыл қасиет дарытатын қазына. Мәдениет биологиялық инстингтермен емес, әлеуметтік қатынастармен реттелінеді»</w:t>
      </w:r>
      <w:r w:rsidRPr="00010590">
        <w:rPr>
          <w:rFonts w:ascii="Times New Roman" w:hAnsi="Times New Roman" w:cs="Times New Roman"/>
          <w:sz w:val="28"/>
          <w:szCs w:val="28"/>
          <w:lang w:val="kk-KZ"/>
        </w:rPr>
        <w:t xml:space="preserve"> [63]</w:t>
      </w:r>
      <w:r w:rsidRPr="00010590">
        <w:rPr>
          <w:rStyle w:val="2"/>
          <w:rFonts w:eastAsia="Calibri"/>
          <w:sz w:val="28"/>
          <w:szCs w:val="28"/>
          <w:lang w:val="kk-KZ"/>
        </w:rPr>
        <w:t>-дейді.</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Телевизияның шығармашылық табиғатын ашуда орыс өнертанушысы Владимир Саппак (1921-1961) ізашар болды, алғаш рет жүйелеп, құнды дүние</w:t>
      </w:r>
      <w:r w:rsidRPr="00B40822">
        <w:rPr>
          <w:rFonts w:ascii="Times New Roman" w:hAnsi="Times New Roman" w:cs="Times New Roman"/>
          <w:b/>
          <w:sz w:val="28"/>
          <w:szCs w:val="28"/>
          <w:lang w:val="kk-KZ"/>
        </w:rPr>
        <w:t>[64]</w:t>
      </w:r>
      <w:r w:rsidRPr="00B40822">
        <w:rPr>
          <w:rStyle w:val="a3"/>
          <w:rFonts w:ascii="Times New Roman" w:hAnsi="Times New Roman" w:cs="Times New Roman"/>
          <w:sz w:val="28"/>
          <w:szCs w:val="28"/>
          <w:lang w:val="kk-KZ"/>
        </w:rPr>
        <w:t xml:space="preserve"> қалдырды. Өзі төсек тартып ауырып жатқан жанның жанқиярлық еңбегі күні бүгінге дейін өзектілігін жойған жоқ, бірнеше рет қайта басылып шықты, тележурналистика саласындағы «алтын оқулық» қатарына кірді. В. Саппак талантты театр сыншысы, журналист болатын, ұлты қарайым (арғы тегі түркілік), оның өнерді жетік </w:t>
      </w:r>
      <w:r w:rsidRPr="00B40822">
        <w:rPr>
          <w:rStyle w:val="a3"/>
          <w:rFonts w:ascii="Times New Roman" w:hAnsi="Times New Roman" w:cs="Times New Roman"/>
          <w:sz w:val="28"/>
          <w:szCs w:val="28"/>
          <w:lang w:val="kk-KZ"/>
        </w:rPr>
        <w:lastRenderedPageBreak/>
        <w:t>білуі жаңа дамып келе жатқан телевизияның құдіреттілігін де тап басуға көмектесті, экранды «тұлғалардың рентгені», «мінездердің рентгені» дейді, яғни, тележурналист болсын, кейіпкер болсын, сөзімен ғана емес, экранда ішкі жан дүниесімен танылады. Тағы бірде: «Абсолютный слух» на правду — вот что от природы получило телевидение»,-дейді. Экранда шындықты жасыру мүмкін емес, өйткені, көрермен жалғанды оңай ажырата қояды, сенім болмаған жерде хабар да болмайды.</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Өзі сұрақ қояды да, оған жауап та береді: «Телевидение стандартизует наши вкусы, наши потребности?</w:t>
      </w:r>
    </w:p>
    <w:p w:rsidR="00AD3109" w:rsidRPr="001C64CD" w:rsidRDefault="00AD3109" w:rsidP="00AD3109">
      <w:pPr>
        <w:spacing w:after="0" w:line="240" w:lineRule="auto"/>
        <w:ind w:firstLine="709"/>
        <w:jc w:val="both"/>
        <w:rPr>
          <w:rStyle w:val="a3"/>
          <w:rFonts w:ascii="Times New Roman" w:hAnsi="Times New Roman" w:cs="Times New Roman"/>
          <w:sz w:val="28"/>
          <w:szCs w:val="28"/>
          <w:lang w:val="kk-KZ"/>
        </w:rPr>
      </w:pPr>
      <w:r w:rsidRPr="001C64CD">
        <w:rPr>
          <w:rStyle w:val="a3"/>
          <w:rFonts w:ascii="Times New Roman" w:hAnsi="Times New Roman" w:cs="Times New Roman"/>
          <w:sz w:val="28"/>
          <w:szCs w:val="28"/>
          <w:lang w:val="kk-KZ"/>
        </w:rPr>
        <w:t>Да. Но оно же выступает великим пропагандистом культуры, бесконечно расширяет наши знания о человеке, об обществе, о том же искусстве, как бы само информирует, что осталось за бортом и из чего следовало бы выбирать».</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Телевизияның әлеуметтік және эстетикалық құндылықтарын бұтарлап көрсете келе, В. Саппак мынадай қасиеттеріне баса назар аударады: «деректілік», «шығармашылықтың сол сәттілігі!», «қатысу эффекті», «интимділік», «суырып салуға бейімділік», «жоғары сапа, жоғары шеберлік». Әрине, телеэкранның аудиториясы кеңінен сөз болады, тележүргізушілердің шеберлік қырлары ашылады, оларға тән қабілеттер сарапталады.</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В. Саппак телевизияға өнер деп қарап, оны былай деп тұжырымдайды: «...телевидение — в своей идее — поднимает или, скажем даже, утверждает значение человеческой личности, свободу и непосредственность ее выявления, новый, интимный характер ее контактов с широкой общественной средой. На вопрос — быть или не быть телевидению искусством? — я отвечаю: быть!»</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Тележурналистиканың осы негіздерін кейін, зерттеушілер Р.А.Борецкий мен А.Я.Юровский жалғастырды, орыс тіліндегі алғашқы оқулықты жазып шықты.</w:t>
      </w:r>
    </w:p>
    <w:p w:rsidR="00AD3109" w:rsidRPr="00B40822" w:rsidRDefault="00AD3109" w:rsidP="00AD3109">
      <w:pPr>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Орыс тележурналистикасының теориялық негіздерін қалаған ғалымның бірі Э.Г.Багиров батыстық теорияларды сараптай келе, өз көзқарасын білдіріп, қатысымдық үрдісті төмендегіше сипаттайды:</w:t>
      </w:r>
    </w:p>
    <w:p w:rsidR="00AD3109" w:rsidRPr="00B40822" w:rsidRDefault="00AD3109" w:rsidP="00AD3109">
      <w:pPr>
        <w:autoSpaceDE w:val="0"/>
        <w:autoSpaceDN w:val="0"/>
        <w:adjustRightInd w:val="0"/>
        <w:spacing w:after="0" w:line="240" w:lineRule="auto"/>
        <w:ind w:firstLine="709"/>
        <w:jc w:val="both"/>
        <w:rPr>
          <w:rFonts w:ascii="Times New Roman" w:hAnsi="Times New Roman" w:cs="Times New Roman"/>
          <w:b/>
          <w:sz w:val="28"/>
          <w:szCs w:val="28"/>
          <w:lang w:val="kk-KZ"/>
        </w:rPr>
      </w:pPr>
      <w:r w:rsidRPr="00B40822">
        <w:rPr>
          <w:rStyle w:val="a3"/>
          <w:rFonts w:ascii="Times New Roman" w:hAnsi="Times New Roman" w:cs="Times New Roman"/>
          <w:sz w:val="28"/>
          <w:szCs w:val="28"/>
          <w:lang w:val="kk-KZ"/>
        </w:rPr>
        <w:t>Өмір шындығы</w:t>
      </w:r>
      <w:r w:rsidRPr="00B40822">
        <w:rPr>
          <w:rFonts w:ascii="Times New Roman" w:hAnsi="Times New Roman" w:cs="Times New Roman"/>
          <w:b/>
          <w:sz w:val="28"/>
          <w:szCs w:val="28"/>
          <w:lang w:val="kk-KZ"/>
        </w:rPr>
        <w:t>—►</w:t>
      </w:r>
      <w:r w:rsidRPr="00B40822">
        <w:rPr>
          <w:rStyle w:val="a3"/>
          <w:rFonts w:ascii="Times New Roman" w:hAnsi="Times New Roman" w:cs="Times New Roman"/>
          <w:sz w:val="28"/>
          <w:szCs w:val="28"/>
          <w:lang w:val="kk-KZ"/>
        </w:rPr>
        <w:t>Тұлғалық қасиеттер</w:t>
      </w:r>
      <w:r w:rsidRPr="00B40822">
        <w:rPr>
          <w:rFonts w:ascii="Times New Roman" w:hAnsi="Times New Roman" w:cs="Times New Roman"/>
          <w:b/>
          <w:sz w:val="28"/>
          <w:szCs w:val="28"/>
          <w:lang w:val="kk-KZ"/>
        </w:rPr>
        <w:t>—►Әлеуметтік қатынастар құрылымы  —► Қатысымдық  тәуелділік  құрылымы —►  Шағылысу  үрдісі —► Шығармашылық үрдісі —► Ұғыну, қабылдау үрдісі—► Кері байланыс —►Нәтиже, әлеуметтік тәжірибе мен іс-әрекет[65].</w:t>
      </w:r>
    </w:p>
    <w:p w:rsidR="00AD3109" w:rsidRPr="00010590" w:rsidRDefault="00AD3109" w:rsidP="00AD3109">
      <w:pPr>
        <w:autoSpaceDE w:val="0"/>
        <w:autoSpaceDN w:val="0"/>
        <w:adjustRightInd w:val="0"/>
        <w:spacing w:after="0" w:line="240" w:lineRule="auto"/>
        <w:ind w:firstLine="709"/>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Телеөндірістің құрылымы мен шығармашылық табиғатын дәл және ауқымды сипаттайтын модель күні бүгінге дейін өзектілігін жоғалтқан жоқ. Э.Багиров телевизияны үрдіс ретінде қарастырып, оның әлеуметтік қырларын, қоғам өміріндегі маңыздылығын жаңаша қорытады, дамытады.</w:t>
      </w:r>
    </w:p>
    <w:p w:rsidR="00AD3109" w:rsidRPr="00B40822" w:rsidRDefault="00AD3109" w:rsidP="00AD3109">
      <w:pPr>
        <w:autoSpaceDE w:val="0"/>
        <w:autoSpaceDN w:val="0"/>
        <w:adjustRightInd w:val="0"/>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А.Я.Юровский телевизияның табиғи ерекшеліктерін ескере келе, оның табиғатын төмендегідей көрсетеді</w:t>
      </w:r>
      <w:r w:rsidRPr="00B40822">
        <w:rPr>
          <w:rFonts w:ascii="Times New Roman" w:hAnsi="Times New Roman" w:cs="Times New Roman"/>
          <w:b/>
          <w:sz w:val="28"/>
          <w:szCs w:val="28"/>
          <w:lang w:val="kk-KZ"/>
        </w:rPr>
        <w:t>[66, 29-30 б.]</w:t>
      </w:r>
      <w:r w:rsidRPr="00B40822">
        <w:rPr>
          <w:rStyle w:val="a3"/>
          <w:rFonts w:ascii="Times New Roman" w:hAnsi="Times New Roman" w:cs="Times New Roman"/>
          <w:sz w:val="28"/>
          <w:szCs w:val="28"/>
          <w:lang w:val="kk-KZ"/>
        </w:rPr>
        <w:t>:</w:t>
      </w:r>
    </w:p>
    <w:p w:rsidR="00AD3109" w:rsidRPr="00B40822" w:rsidRDefault="00AD3109" w:rsidP="00AD3109">
      <w:pPr>
        <w:autoSpaceDE w:val="0"/>
        <w:autoSpaceDN w:val="0"/>
        <w:adjustRightInd w:val="0"/>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lastRenderedPageBreak/>
        <w:t>1) кең таралымдығы. Электромагнитті толқындардың кең тарайтындығы мен үлкен аумақта көру мүмкіндігі.</w:t>
      </w:r>
    </w:p>
    <w:p w:rsidR="00AD3109" w:rsidRPr="00B40822" w:rsidRDefault="00AD3109" w:rsidP="00AD3109">
      <w:pPr>
        <w:autoSpaceDE w:val="0"/>
        <w:autoSpaceDN w:val="0"/>
        <w:adjustRightInd w:val="0"/>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2) экрандылығы, яғни бейнеқатармен қоса дауыс, дыбыс пен шудың берілуі, содан кең аудиторияға түсінікті, сезімталдықпен қабылдануы.</w:t>
      </w:r>
    </w:p>
    <w:p w:rsidR="00AD3109" w:rsidRPr="00B40822" w:rsidRDefault="00AD3109" w:rsidP="00AD3109">
      <w:pPr>
        <w:autoSpaceDE w:val="0"/>
        <w:autoSpaceDN w:val="0"/>
        <w:adjustRightInd w:val="0"/>
        <w:spacing w:after="0" w:line="240" w:lineRule="auto"/>
        <w:ind w:firstLine="709"/>
        <w:jc w:val="both"/>
        <w:rPr>
          <w:rStyle w:val="a3"/>
          <w:rFonts w:ascii="Times New Roman" w:hAnsi="Times New Roman" w:cs="Times New Roman"/>
          <w:b w:val="0"/>
          <w:sz w:val="28"/>
          <w:szCs w:val="28"/>
          <w:lang w:val="kk-KZ"/>
        </w:rPr>
      </w:pPr>
      <w:r w:rsidRPr="00B40822">
        <w:rPr>
          <w:rStyle w:val="a3"/>
          <w:rFonts w:ascii="Times New Roman" w:hAnsi="Times New Roman" w:cs="Times New Roman"/>
          <w:sz w:val="28"/>
          <w:szCs w:val="28"/>
          <w:lang w:val="kk-KZ"/>
        </w:rPr>
        <w:t xml:space="preserve">3) тікебайланыстылығы, іс-әрекетті сол күйінде бейнелі, жанды пішінде сол заматта көрсетеді, бір сәттілік тікелей эфир хабарларына сенімді күшейтеді. </w:t>
      </w:r>
    </w:p>
    <w:p w:rsidR="00AD3109" w:rsidRPr="00B40822" w:rsidRDefault="00AD3109" w:rsidP="00AD3109">
      <w:pPr>
        <w:autoSpaceDE w:val="0"/>
        <w:autoSpaceDN w:val="0"/>
        <w:adjustRightInd w:val="0"/>
        <w:spacing w:after="0" w:line="240" w:lineRule="auto"/>
        <w:ind w:firstLine="709"/>
        <w:jc w:val="both"/>
        <w:rPr>
          <w:rFonts w:ascii="Times New Roman" w:hAnsi="Times New Roman" w:cs="Times New Roman"/>
          <w:b/>
          <w:sz w:val="28"/>
          <w:szCs w:val="28"/>
          <w:lang w:val="kk-KZ"/>
        </w:rPr>
      </w:pPr>
      <w:r w:rsidRPr="00B40822">
        <w:rPr>
          <w:rStyle w:val="a3"/>
          <w:rFonts w:ascii="Times New Roman" w:hAnsi="Times New Roman" w:cs="Times New Roman"/>
          <w:sz w:val="28"/>
          <w:szCs w:val="28"/>
          <w:lang w:val="kk-KZ"/>
        </w:rPr>
        <w:t>Телевизияның құрылымдық, бейнелеуші, эстетикалық және шығармашылық ерекшеліктері мен кең мүмкіндіктерін зерттеуші осы үш қасиеттен таратып әкетеді.</w:t>
      </w:r>
      <w:r w:rsidRPr="00B40822">
        <w:rPr>
          <w:rFonts w:ascii="Times New Roman" w:hAnsi="Times New Roman" w:cs="Times New Roman"/>
          <w:b/>
          <w:sz w:val="28"/>
          <w:szCs w:val="28"/>
          <w:lang w:val="kk-KZ"/>
        </w:rPr>
        <w:t xml:space="preserve"> </w:t>
      </w:r>
    </w:p>
    <w:p w:rsidR="00AD3109" w:rsidRDefault="00AD3109" w:rsidP="00AD3109">
      <w:pPr>
        <w:rPr>
          <w:rFonts w:ascii="Times New Roman" w:hAnsi="Times New Roman" w:cs="Times New Roman"/>
          <w:sz w:val="28"/>
          <w:szCs w:val="28"/>
          <w:lang w:val="kk-KZ"/>
        </w:rPr>
      </w:pPr>
    </w:p>
    <w:p w:rsidR="00A84139" w:rsidRPr="00AD3109" w:rsidRDefault="00A84139">
      <w:pPr>
        <w:rPr>
          <w:lang w:val="kk-KZ"/>
        </w:rPr>
      </w:pPr>
      <w:bookmarkStart w:id="0" w:name="_GoBack"/>
      <w:bookmarkEnd w:id="0"/>
    </w:p>
    <w:sectPr w:rsidR="00A84139" w:rsidRPr="00AD310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84"/>
    <w:rsid w:val="00A84139"/>
    <w:rsid w:val="00AD3109"/>
    <w:rsid w:val="00BF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C3351-37B3-455E-8D0B-02243DA2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109"/>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D3109"/>
    <w:rPr>
      <w:b/>
      <w:bCs/>
    </w:rPr>
  </w:style>
  <w:style w:type="character" w:customStyle="1" w:styleId="2">
    <w:name w:val="Основной текст (2)"/>
    <w:basedOn w:val="a0"/>
    <w:rsid w:val="00AD3109"/>
    <w:rPr>
      <w:rFonts w:ascii="Times New Roman" w:eastAsia="Times New Roman" w:hAnsi="Times New Roman" w:cs="Times New Roman"/>
      <w:b w:val="0"/>
      <w:bCs w:val="0"/>
      <w:i w:val="0"/>
      <w:iCs w:val="0"/>
      <w:smallCaps w:val="0"/>
      <w:strike w:val="0"/>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6920</Characters>
  <Application>Microsoft Office Word</Application>
  <DocSecurity>0</DocSecurity>
  <Lines>57</Lines>
  <Paragraphs>16</Paragraphs>
  <ScaleCrop>false</ScaleCrop>
  <Company>SPecialiST RePack</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2022-09-22T09:36:00Z</dcterms:created>
  <dcterms:modified xsi:type="dcterms:W3CDTF">2022-09-22T09:36:00Z</dcterms:modified>
</cp:coreProperties>
</file>